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5A0D" w14:textId="77777777" w:rsidR="00D9092B" w:rsidRPr="00D9092B" w:rsidRDefault="00D9092B" w:rsidP="00D9092B">
      <w:pPr>
        <w:rPr>
          <w:rFonts w:eastAsia="Times New Roman"/>
          <w:sz w:val="30"/>
          <w:szCs w:val="30"/>
          <w:lang w:eastAsia="pl-PL"/>
        </w:rPr>
      </w:pPr>
      <w:r w:rsidRPr="00D9092B">
        <w:rPr>
          <w:rFonts w:eastAsia="Times New Roman"/>
          <w:b/>
          <w:bCs/>
          <w:color w:val="0B5394"/>
          <w:sz w:val="30"/>
          <w:szCs w:val="30"/>
          <w:lang w:val="en-US" w:eastAsia="pl-PL"/>
        </w:rPr>
        <w:t>Genre</w:t>
      </w:r>
      <w:r w:rsidRPr="00D9092B">
        <w:rPr>
          <w:rFonts w:eastAsia="Times New Roman"/>
          <w:b/>
          <w:bCs/>
          <w:sz w:val="30"/>
          <w:szCs w:val="30"/>
          <w:lang w:val="en-US" w:eastAsia="pl-PL"/>
        </w:rPr>
        <w:t> </w:t>
      </w:r>
      <w:r w:rsidRPr="00D9092B">
        <w:rPr>
          <w:rFonts w:eastAsia="Times New Roman"/>
          <w:sz w:val="30"/>
          <w:szCs w:val="30"/>
          <w:lang w:val="en-US" w:eastAsia="pl-PL"/>
        </w:rPr>
        <w:t>- formal-thematic type of text which serves as a basic criteria of discerning particular </w:t>
      </w:r>
      <w:r w:rsidRPr="00D9092B">
        <w:rPr>
          <w:rFonts w:eastAsia="Times New Roman"/>
          <w:b/>
          <w:bCs/>
          <w:color w:val="0B5394"/>
          <w:sz w:val="30"/>
          <w:szCs w:val="30"/>
          <w:lang w:val="en-US" w:eastAsia="pl-PL"/>
        </w:rPr>
        <w:t>units</w:t>
      </w:r>
      <w:r w:rsidRPr="00D9092B">
        <w:rPr>
          <w:rFonts w:eastAsia="Times New Roman"/>
          <w:b/>
          <w:bCs/>
          <w:sz w:val="30"/>
          <w:szCs w:val="30"/>
          <w:lang w:val="en-US" w:eastAsia="pl-PL"/>
        </w:rPr>
        <w:t> </w:t>
      </w:r>
      <w:r w:rsidRPr="00D9092B">
        <w:rPr>
          <w:rFonts w:eastAsia="Times New Roman"/>
          <w:sz w:val="30"/>
          <w:szCs w:val="30"/>
          <w:lang w:val="en-US" w:eastAsia="pl-PL"/>
        </w:rPr>
        <w:t>and complex </w:t>
      </w:r>
      <w:r w:rsidRPr="00D9092B">
        <w:rPr>
          <w:rFonts w:eastAsia="Times New Roman"/>
          <w:b/>
          <w:bCs/>
          <w:color w:val="0B5394"/>
          <w:sz w:val="30"/>
          <w:szCs w:val="30"/>
          <w:lang w:val="en-US" w:eastAsia="pl-PL"/>
        </w:rPr>
        <w:t>pieces</w:t>
      </w:r>
      <w:r w:rsidRPr="00D9092B">
        <w:rPr>
          <w:rFonts w:eastAsia="Times New Roman"/>
          <w:sz w:val="30"/>
          <w:szCs w:val="30"/>
          <w:lang w:val="en-US" w:eastAsia="pl-PL"/>
        </w:rPr>
        <w:t xml:space="preserve">. </w:t>
      </w:r>
      <w:r w:rsidRPr="00D9092B">
        <w:rPr>
          <w:rFonts w:eastAsia="Times New Roman"/>
          <w:sz w:val="30"/>
          <w:szCs w:val="30"/>
          <w:lang w:eastAsia="pl-PL"/>
        </w:rPr>
        <w:t xml:space="preserve">The </w:t>
      </w:r>
      <w:proofErr w:type="spellStart"/>
      <w:r w:rsidRPr="00D9092B">
        <w:rPr>
          <w:rFonts w:eastAsia="Times New Roman"/>
          <w:sz w:val="30"/>
          <w:szCs w:val="30"/>
          <w:lang w:eastAsia="pl-PL"/>
        </w:rPr>
        <w:t>following</w:t>
      </w:r>
      <w:proofErr w:type="spellEnd"/>
      <w:r w:rsidRPr="00D9092B">
        <w:rPr>
          <w:rFonts w:eastAsia="Times New Roman"/>
          <w:sz w:val="30"/>
          <w:szCs w:val="30"/>
          <w:lang w:eastAsia="pl-PL"/>
        </w:rPr>
        <w:t> </w:t>
      </w:r>
      <w:proofErr w:type="spellStart"/>
      <w:r w:rsidRPr="00D9092B">
        <w:rPr>
          <w:rFonts w:eastAsia="Times New Roman"/>
          <w:b/>
          <w:bCs/>
          <w:color w:val="0B5394"/>
          <w:sz w:val="30"/>
          <w:szCs w:val="30"/>
          <w:lang w:eastAsia="pl-PL"/>
        </w:rPr>
        <w:t>genres</w:t>
      </w:r>
      <w:proofErr w:type="spellEnd"/>
      <w:r w:rsidRPr="00D9092B">
        <w:rPr>
          <w:rFonts w:eastAsia="Times New Roman"/>
          <w:b/>
          <w:bCs/>
          <w:sz w:val="30"/>
          <w:szCs w:val="30"/>
          <w:lang w:eastAsia="pl-PL"/>
        </w:rPr>
        <w:t> </w:t>
      </w:r>
      <w:proofErr w:type="spellStart"/>
      <w:r w:rsidRPr="00D9092B">
        <w:rPr>
          <w:rFonts w:eastAsia="Times New Roman"/>
          <w:sz w:val="30"/>
          <w:szCs w:val="30"/>
          <w:lang w:eastAsia="pl-PL"/>
        </w:rPr>
        <w:t>have</w:t>
      </w:r>
      <w:proofErr w:type="spellEnd"/>
      <w:r w:rsidRPr="00D9092B">
        <w:rPr>
          <w:rFonts w:eastAsia="Times New Roman"/>
          <w:sz w:val="30"/>
          <w:szCs w:val="30"/>
          <w:lang w:eastAsia="pl-PL"/>
        </w:rPr>
        <w:t xml:space="preserve"> </w:t>
      </w:r>
      <w:proofErr w:type="spellStart"/>
      <w:r w:rsidRPr="00D9092B">
        <w:rPr>
          <w:rFonts w:eastAsia="Times New Roman"/>
          <w:sz w:val="30"/>
          <w:szCs w:val="30"/>
          <w:lang w:eastAsia="pl-PL"/>
        </w:rPr>
        <w:t>been</w:t>
      </w:r>
      <w:proofErr w:type="spellEnd"/>
      <w:r w:rsidRPr="00D9092B">
        <w:rPr>
          <w:rFonts w:eastAsia="Times New Roman"/>
          <w:sz w:val="30"/>
          <w:szCs w:val="30"/>
          <w:lang w:eastAsia="pl-PL"/>
        </w:rPr>
        <w:t xml:space="preserve"> </w:t>
      </w:r>
      <w:proofErr w:type="spellStart"/>
      <w:r w:rsidRPr="00D9092B">
        <w:rPr>
          <w:rFonts w:eastAsia="Times New Roman"/>
          <w:sz w:val="30"/>
          <w:szCs w:val="30"/>
          <w:lang w:eastAsia="pl-PL"/>
        </w:rPr>
        <w:t>defined</w:t>
      </w:r>
      <w:proofErr w:type="spellEnd"/>
      <w:r w:rsidRPr="00D9092B">
        <w:rPr>
          <w:rFonts w:eastAsia="Times New Roman"/>
          <w:sz w:val="30"/>
          <w:szCs w:val="30"/>
          <w:lang w:eastAsia="pl-PL"/>
        </w:rPr>
        <w:t>:</w:t>
      </w:r>
    </w:p>
    <w:p w14:paraId="71155D4B"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anecdotal biblical [</w:t>
      </w:r>
      <w:r w:rsidRPr="00D9092B">
        <w:rPr>
          <w:rFonts w:eastAsia="Times New Roman"/>
          <w:b/>
          <w:bCs/>
          <w:color w:val="0B5394"/>
          <w:sz w:val="30"/>
          <w:szCs w:val="30"/>
          <w:lang w:val="en-US" w:eastAsia="pl-PL"/>
        </w:rPr>
        <w:t>bib</w:t>
      </w:r>
      <w:r w:rsidRPr="00D9092B">
        <w:rPr>
          <w:rFonts w:eastAsia="Times New Roman"/>
          <w:sz w:val="30"/>
          <w:szCs w:val="30"/>
          <w:lang w:val="en-US" w:eastAsia="pl-PL"/>
        </w:rPr>
        <w:t>] - a narrative which reiterates or explains a biblical account, most often with the intrusion of some </w:t>
      </w:r>
      <w:r w:rsidRPr="00D9092B">
        <w:rPr>
          <w:rFonts w:eastAsia="Times New Roman"/>
          <w:b/>
          <w:bCs/>
          <w:color w:val="0B5394"/>
          <w:sz w:val="30"/>
          <w:szCs w:val="30"/>
          <w:lang w:val="en-US" w:eastAsia="pl-PL"/>
        </w:rPr>
        <w:t>entity</w:t>
      </w:r>
      <w:r w:rsidRPr="00D9092B">
        <w:rPr>
          <w:rFonts w:eastAsia="Times New Roman"/>
          <w:sz w:val="30"/>
          <w:szCs w:val="30"/>
          <w:lang w:val="en-US" w:eastAsia="pl-PL"/>
        </w:rPr>
        <w:t> to the story;</w:t>
      </w:r>
    </w:p>
    <w:p w14:paraId="5BA8F0E8"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anecdotal rabbinic[</w:t>
      </w:r>
      <w:proofErr w:type="spellStart"/>
      <w:r w:rsidRPr="00D9092B">
        <w:rPr>
          <w:rFonts w:eastAsia="Times New Roman"/>
          <w:b/>
          <w:bCs/>
          <w:color w:val="0B5394"/>
          <w:sz w:val="30"/>
          <w:szCs w:val="30"/>
          <w:lang w:val="en-US" w:eastAsia="pl-PL"/>
        </w:rPr>
        <w:t>rab</w:t>
      </w:r>
      <w:proofErr w:type="spellEnd"/>
      <w:r w:rsidRPr="00D9092B">
        <w:rPr>
          <w:rFonts w:eastAsia="Times New Roman"/>
          <w:sz w:val="30"/>
          <w:szCs w:val="30"/>
          <w:lang w:val="en-US" w:eastAsia="pl-PL"/>
        </w:rPr>
        <w:t>] - a narrative which concerns the personal rabbinic encounters with the demons;</w:t>
      </w:r>
    </w:p>
    <w:p w14:paraId="7B2ED0AA"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cultic protocol [</w:t>
      </w:r>
      <w:r w:rsidRPr="00D9092B">
        <w:rPr>
          <w:rFonts w:eastAsia="Times New Roman"/>
          <w:b/>
          <w:bCs/>
          <w:color w:val="0B5394"/>
          <w:sz w:val="30"/>
          <w:szCs w:val="30"/>
          <w:lang w:val="en-US" w:eastAsia="pl-PL"/>
        </w:rPr>
        <w:t>cult</w:t>
      </w:r>
      <w:r w:rsidRPr="00D9092B">
        <w:rPr>
          <w:rFonts w:eastAsia="Times New Roman"/>
          <w:sz w:val="30"/>
          <w:szCs w:val="30"/>
          <w:lang w:val="en-US" w:eastAsia="pl-PL"/>
        </w:rPr>
        <w:t>] - concerns the ritual issues (such as actions, paraphernalia and appurtenances) which involve the </w:t>
      </w:r>
      <w:r w:rsidRPr="00D9092B">
        <w:rPr>
          <w:rFonts w:eastAsia="Times New Roman"/>
          <w:b/>
          <w:bCs/>
          <w:color w:val="0B5394"/>
          <w:sz w:val="30"/>
          <w:szCs w:val="30"/>
          <w:lang w:val="en-US" w:eastAsia="pl-PL"/>
        </w:rPr>
        <w:t>entities</w:t>
      </w:r>
      <w:r w:rsidRPr="00D9092B">
        <w:rPr>
          <w:rFonts w:eastAsia="Times New Roman"/>
          <w:sz w:val="30"/>
          <w:szCs w:val="30"/>
          <w:lang w:val="en-US" w:eastAsia="pl-PL"/>
        </w:rPr>
        <w:t> and most often deals with necromancy and idolatry; it also contains a separate group of exclusive references to </w:t>
      </w:r>
      <w:r w:rsidRPr="00D9092B">
        <w:rPr>
          <w:rFonts w:eastAsia="Times New Roman"/>
          <w:b/>
          <w:bCs/>
          <w:color w:val="0B5394"/>
          <w:sz w:val="30"/>
          <w:szCs w:val="30"/>
          <w:lang w:val="en-US" w:eastAsia="pl-PL"/>
        </w:rPr>
        <w:t>Azazel</w:t>
      </w:r>
      <w:r w:rsidRPr="00D9092B">
        <w:rPr>
          <w:rFonts w:eastAsia="Times New Roman"/>
          <w:sz w:val="30"/>
          <w:szCs w:val="30"/>
          <w:lang w:val="en-US" w:eastAsia="pl-PL"/>
        </w:rPr>
        <w:t>;</w:t>
      </w:r>
    </w:p>
    <w:p w14:paraId="4E080889"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pragmatic advice [</w:t>
      </w:r>
      <w:proofErr w:type="spellStart"/>
      <w:r w:rsidRPr="00D9092B">
        <w:rPr>
          <w:rFonts w:eastAsia="Times New Roman"/>
          <w:b/>
          <w:bCs/>
          <w:color w:val="0B5394"/>
          <w:sz w:val="30"/>
          <w:szCs w:val="30"/>
          <w:lang w:val="en-US" w:eastAsia="pl-PL"/>
        </w:rPr>
        <w:t>prag</w:t>
      </w:r>
      <w:proofErr w:type="spellEnd"/>
      <w:r w:rsidRPr="00D9092B">
        <w:rPr>
          <w:rFonts w:eastAsia="Times New Roman"/>
          <w:sz w:val="30"/>
          <w:szCs w:val="30"/>
          <w:lang w:val="en-US" w:eastAsia="pl-PL"/>
        </w:rPr>
        <w:t>] - covers all the down-to-earth details concerning the relationships between humans and demons and boils down to the specific dos and don’ts such as do not wander alone and devoid of any source of light at night or do not sleep alone in an empty house;</w:t>
      </w:r>
    </w:p>
    <w:p w14:paraId="253C5680"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proverb [</w:t>
      </w:r>
      <w:r w:rsidRPr="00D9092B">
        <w:rPr>
          <w:rFonts w:eastAsia="Times New Roman"/>
          <w:b/>
          <w:bCs/>
          <w:color w:val="0B5394"/>
          <w:sz w:val="30"/>
          <w:szCs w:val="30"/>
          <w:lang w:val="en-US" w:eastAsia="pl-PL"/>
        </w:rPr>
        <w:t>prov</w:t>
      </w:r>
      <w:r w:rsidRPr="00D9092B">
        <w:rPr>
          <w:rFonts w:eastAsia="Times New Roman"/>
          <w:sz w:val="30"/>
          <w:szCs w:val="30"/>
          <w:lang w:val="en-US" w:eastAsia="pl-PL"/>
        </w:rPr>
        <w:t>] - applies the name of a particular </w:t>
      </w:r>
      <w:r w:rsidRPr="00D9092B">
        <w:rPr>
          <w:rFonts w:eastAsia="Times New Roman"/>
          <w:b/>
          <w:bCs/>
          <w:color w:val="0B5394"/>
          <w:sz w:val="30"/>
          <w:szCs w:val="30"/>
          <w:lang w:val="en-US" w:eastAsia="pl-PL"/>
        </w:rPr>
        <w:t>entity </w:t>
      </w:r>
      <w:r w:rsidRPr="00D9092B">
        <w:rPr>
          <w:rFonts w:eastAsia="Times New Roman"/>
          <w:sz w:val="30"/>
          <w:szCs w:val="30"/>
          <w:lang w:val="en-US" w:eastAsia="pl-PL"/>
        </w:rPr>
        <w:t>in what appears to be a kind of a proverb, folk wisdom, euphemism, simile or any other conventional manner of speech, e.g. "do not open your mouth for </w:t>
      </w:r>
      <w:r w:rsidRPr="00D9092B">
        <w:rPr>
          <w:rFonts w:eastAsia="Times New Roman"/>
          <w:b/>
          <w:bCs/>
          <w:color w:val="0B5394"/>
          <w:sz w:val="30"/>
          <w:szCs w:val="30"/>
          <w:lang w:val="en-US" w:eastAsia="pl-PL"/>
        </w:rPr>
        <w:t>Satan</w:t>
      </w:r>
      <w:r w:rsidRPr="00D9092B">
        <w:rPr>
          <w:rFonts w:eastAsia="Times New Roman"/>
          <w:sz w:val="30"/>
          <w:szCs w:val="30"/>
          <w:lang w:val="en-US" w:eastAsia="pl-PL"/>
        </w:rPr>
        <w:t>", "</w:t>
      </w:r>
      <w:r w:rsidRPr="00D9092B">
        <w:rPr>
          <w:rFonts w:eastAsia="Times New Roman"/>
          <w:b/>
          <w:bCs/>
          <w:color w:val="0B5394"/>
          <w:sz w:val="30"/>
          <w:szCs w:val="30"/>
          <w:lang w:val="en-US" w:eastAsia="pl-PL"/>
        </w:rPr>
        <w:t>Satan</w:t>
      </w:r>
      <w:r w:rsidRPr="00D9092B">
        <w:rPr>
          <w:rFonts w:eastAsia="Times New Roman"/>
          <w:sz w:val="30"/>
          <w:szCs w:val="30"/>
          <w:lang w:val="en-US" w:eastAsia="pl-PL"/>
        </w:rPr>
        <w:t> dances between ones horns" or "the daughter of </w:t>
      </w:r>
      <w:r w:rsidRPr="00D9092B">
        <w:rPr>
          <w:rFonts w:eastAsia="Times New Roman"/>
          <w:b/>
          <w:bCs/>
          <w:color w:val="0B5394"/>
          <w:sz w:val="30"/>
          <w:szCs w:val="30"/>
          <w:lang w:val="en-US" w:eastAsia="pl-PL"/>
        </w:rPr>
        <w:t>Belial</w:t>
      </w:r>
      <w:r w:rsidRPr="00D9092B">
        <w:rPr>
          <w:rFonts w:eastAsia="Times New Roman"/>
          <w:sz w:val="30"/>
          <w:szCs w:val="30"/>
          <w:lang w:val="en-US" w:eastAsia="pl-PL"/>
        </w:rPr>
        <w:t>";</w:t>
      </w:r>
    </w:p>
    <w:p w14:paraId="16CF211A" w14:textId="77777777" w:rsidR="00D9092B" w:rsidRPr="00D9092B" w:rsidRDefault="00D9092B" w:rsidP="00D9092B">
      <w:pPr>
        <w:numPr>
          <w:ilvl w:val="0"/>
          <w:numId w:val="1"/>
        </w:numPr>
        <w:spacing w:after="60"/>
        <w:ind w:left="240" w:firstLine="0"/>
        <w:rPr>
          <w:rFonts w:eastAsia="Times New Roman"/>
          <w:sz w:val="30"/>
          <w:szCs w:val="30"/>
          <w:lang w:val="en-US" w:eastAsia="pl-PL"/>
        </w:rPr>
      </w:pPr>
      <w:r w:rsidRPr="00D9092B">
        <w:rPr>
          <w:rFonts w:eastAsia="Times New Roman"/>
          <w:sz w:val="30"/>
          <w:szCs w:val="30"/>
          <w:lang w:val="en-US" w:eastAsia="pl-PL"/>
        </w:rPr>
        <w:t>statement [</w:t>
      </w:r>
      <w:r w:rsidRPr="00D9092B">
        <w:rPr>
          <w:rFonts w:eastAsia="Times New Roman"/>
          <w:b/>
          <w:bCs/>
          <w:color w:val="0B5394"/>
          <w:sz w:val="30"/>
          <w:szCs w:val="30"/>
          <w:lang w:val="en-US" w:eastAsia="pl-PL"/>
        </w:rPr>
        <w:t>stat</w:t>
      </w:r>
      <w:r w:rsidRPr="00D9092B">
        <w:rPr>
          <w:rFonts w:eastAsia="Times New Roman"/>
          <w:sz w:val="30"/>
          <w:szCs w:val="30"/>
          <w:lang w:val="en-US" w:eastAsia="pl-PL"/>
        </w:rPr>
        <w:t>] - presents some general traits of a given </w:t>
      </w:r>
      <w:r w:rsidRPr="00D9092B">
        <w:rPr>
          <w:rFonts w:eastAsia="Times New Roman"/>
          <w:b/>
          <w:bCs/>
          <w:color w:val="0B5394"/>
          <w:sz w:val="30"/>
          <w:szCs w:val="30"/>
          <w:lang w:val="en-US" w:eastAsia="pl-PL"/>
        </w:rPr>
        <w:t>entity </w:t>
      </w:r>
      <w:r w:rsidRPr="00D9092B">
        <w:rPr>
          <w:rFonts w:eastAsia="Times New Roman"/>
          <w:sz w:val="30"/>
          <w:szCs w:val="30"/>
          <w:lang w:val="en-US" w:eastAsia="pl-PL"/>
        </w:rPr>
        <w:t>and although the examples can be quite complex in terms of their contents and involve a detailed visual description or a flamboyant simile, they take a form of simple statements or assertions.</w:t>
      </w:r>
    </w:p>
    <w:p w14:paraId="2335A98E" w14:textId="77777777" w:rsidR="00D9092B" w:rsidRPr="00D9092B" w:rsidRDefault="00D9092B" w:rsidP="00D9092B">
      <w:pPr>
        <w:spacing w:after="300"/>
        <w:rPr>
          <w:rFonts w:eastAsia="Times New Roman"/>
          <w:sz w:val="30"/>
          <w:szCs w:val="30"/>
          <w:lang w:val="en-US" w:eastAsia="pl-PL"/>
        </w:rPr>
      </w:pPr>
      <w:r w:rsidRPr="00D9092B">
        <w:rPr>
          <w:rFonts w:eastAsia="Times New Roman"/>
          <w:sz w:val="30"/>
          <w:szCs w:val="30"/>
          <w:lang w:val="en-US" w:eastAsia="pl-PL"/>
        </w:rPr>
        <w:t>Obviously and as is common on the grounds of the broadly understood humanities, the classification of particular passage to a given genre is at least to some extent arbitrary. Yet, in order to reduce the bias and secure a certain level of consistency the following classification heuristic has been resorted to throughout the project:</w:t>
      </w:r>
    </w:p>
    <w:p w14:paraId="5CB66E85" w14:textId="5AA4479E" w:rsidR="00D9092B" w:rsidRPr="00D9092B" w:rsidRDefault="00D9092B" w:rsidP="00D9092B">
      <w:pPr>
        <w:jc w:val="center"/>
        <w:rPr>
          <w:rFonts w:eastAsia="Times New Roman"/>
          <w:sz w:val="30"/>
          <w:szCs w:val="30"/>
          <w:lang w:eastAsia="pl-PL"/>
        </w:rPr>
      </w:pPr>
      <w:r w:rsidRPr="00D9092B">
        <w:rPr>
          <w:rFonts w:eastAsia="Times New Roman"/>
          <w:noProof/>
          <w:color w:val="949494"/>
          <w:sz w:val="30"/>
          <w:szCs w:val="30"/>
          <w:lang w:eastAsia="pl-PL"/>
        </w:rPr>
        <w:lastRenderedPageBreak/>
        <w:drawing>
          <wp:inline distT="0" distB="0" distL="0" distR="0" wp14:anchorId="018608F5" wp14:editId="10B714C3">
            <wp:extent cx="5760720" cy="5868670"/>
            <wp:effectExtent l="0" t="0" r="0" b="0"/>
            <wp:docPr id="1" name="Obraz 1" descr="https://1.bp.blogspot.com/-Th9MQslXTGY/WJ3tvE0WGII/AAAAAAAANkY/zesIkFLNN5Qcv3Oziy3XDso_KRwak_W8wCLcB/s640/genre%2Bchoice%2Balgorith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h9MQslXTGY/WJ3tvE0WGII/AAAAAAAANkY/zesIkFLNN5Qcv3Oziy3XDso_KRwak_W8wCLcB/s640/genre%2Bchoice%2Balgorithm.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868670"/>
                    </a:xfrm>
                    <a:prstGeom prst="rect">
                      <a:avLst/>
                    </a:prstGeom>
                    <a:noFill/>
                    <a:ln>
                      <a:noFill/>
                    </a:ln>
                  </pic:spPr>
                </pic:pic>
              </a:graphicData>
            </a:graphic>
          </wp:inline>
        </w:drawing>
      </w:r>
    </w:p>
    <w:p w14:paraId="5DBADE86" w14:textId="77777777" w:rsidR="00D9092B" w:rsidRPr="00D9092B" w:rsidRDefault="00D9092B" w:rsidP="00D9092B">
      <w:pPr>
        <w:rPr>
          <w:rFonts w:eastAsia="Times New Roman"/>
          <w:sz w:val="30"/>
          <w:szCs w:val="30"/>
          <w:lang w:val="en-US" w:eastAsia="pl-PL"/>
        </w:rPr>
      </w:pPr>
      <w:r w:rsidRPr="00D9092B">
        <w:rPr>
          <w:rFonts w:eastAsia="Times New Roman"/>
          <w:sz w:val="30"/>
          <w:szCs w:val="30"/>
          <w:lang w:val="en-US" w:eastAsia="pl-PL"/>
        </w:rPr>
        <w:br/>
      </w:r>
      <w:r w:rsidRPr="00D9092B">
        <w:rPr>
          <w:rFonts w:eastAsia="Times New Roman"/>
          <w:b/>
          <w:bCs/>
          <w:color w:val="0B5394"/>
          <w:sz w:val="30"/>
          <w:szCs w:val="30"/>
          <w:lang w:val="en-US" w:eastAsia="pl-PL"/>
        </w:rPr>
        <w:t>Unit</w:t>
      </w:r>
      <w:r w:rsidRPr="00D9092B">
        <w:rPr>
          <w:rFonts w:eastAsia="Times New Roman"/>
          <w:sz w:val="30"/>
          <w:szCs w:val="30"/>
          <w:lang w:val="en-US" w:eastAsia="pl-PL"/>
        </w:rPr>
        <w:t> - isolated part of text which is coherent in regards with its </w:t>
      </w:r>
      <w:r w:rsidRPr="00D9092B">
        <w:rPr>
          <w:rFonts w:eastAsia="Times New Roman"/>
          <w:b/>
          <w:bCs/>
          <w:color w:val="0B5394"/>
          <w:sz w:val="30"/>
          <w:szCs w:val="30"/>
          <w:lang w:val="en-US" w:eastAsia="pl-PL"/>
        </w:rPr>
        <w:t>genre</w:t>
      </w:r>
      <w:r w:rsidRPr="00D9092B">
        <w:rPr>
          <w:rFonts w:eastAsia="Times New Roman"/>
          <w:b/>
          <w:bCs/>
          <w:sz w:val="30"/>
          <w:szCs w:val="30"/>
          <w:lang w:val="en-US" w:eastAsia="pl-PL"/>
        </w:rPr>
        <w:t> </w:t>
      </w:r>
      <w:r w:rsidRPr="00D9092B">
        <w:rPr>
          <w:rFonts w:eastAsia="Times New Roman"/>
          <w:sz w:val="30"/>
          <w:szCs w:val="30"/>
          <w:lang w:val="en-US" w:eastAsia="pl-PL"/>
        </w:rPr>
        <w:t>and at the same time remains as large as possible to accommodate this coherence. One </w:t>
      </w:r>
      <w:r w:rsidRPr="00D9092B">
        <w:rPr>
          <w:rFonts w:eastAsia="Times New Roman"/>
          <w:b/>
          <w:bCs/>
          <w:color w:val="0B5394"/>
          <w:sz w:val="30"/>
          <w:szCs w:val="30"/>
          <w:lang w:val="en-US" w:eastAsia="pl-PL"/>
        </w:rPr>
        <w:t>unit</w:t>
      </w:r>
      <w:r w:rsidRPr="00D9092B">
        <w:rPr>
          <w:rFonts w:eastAsia="Times New Roman"/>
          <w:b/>
          <w:bCs/>
          <w:sz w:val="30"/>
          <w:szCs w:val="30"/>
          <w:lang w:val="en-US" w:eastAsia="pl-PL"/>
        </w:rPr>
        <w:t> </w:t>
      </w:r>
      <w:r w:rsidRPr="00D9092B">
        <w:rPr>
          <w:rFonts w:eastAsia="Times New Roman"/>
          <w:sz w:val="30"/>
          <w:szCs w:val="30"/>
          <w:lang w:val="en-US" w:eastAsia="pl-PL"/>
        </w:rPr>
        <w:t>occupies one verse in the database and is the basic measurement-unit.</w:t>
      </w:r>
      <w:r w:rsidRPr="00D9092B">
        <w:rPr>
          <w:rFonts w:eastAsia="Times New Roman"/>
          <w:sz w:val="30"/>
          <w:szCs w:val="30"/>
          <w:lang w:val="en-US" w:eastAsia="pl-PL"/>
        </w:rPr>
        <w:br/>
      </w:r>
      <w:r w:rsidRPr="00D9092B">
        <w:rPr>
          <w:rFonts w:eastAsia="Times New Roman"/>
          <w:b/>
          <w:bCs/>
          <w:color w:val="0B5394"/>
          <w:sz w:val="30"/>
          <w:szCs w:val="30"/>
          <w:lang w:val="en-US" w:eastAsia="pl-PL"/>
        </w:rPr>
        <w:t>Piece</w:t>
      </w:r>
      <w:r w:rsidRPr="00D9092B">
        <w:rPr>
          <w:rFonts w:eastAsia="Times New Roman"/>
          <w:b/>
          <w:bCs/>
          <w:sz w:val="30"/>
          <w:szCs w:val="30"/>
          <w:lang w:val="en-US" w:eastAsia="pl-PL"/>
        </w:rPr>
        <w:t> </w:t>
      </w:r>
      <w:r w:rsidRPr="00D9092B">
        <w:rPr>
          <w:rFonts w:eastAsia="Times New Roman"/>
          <w:sz w:val="30"/>
          <w:szCs w:val="30"/>
          <w:lang w:val="en-US" w:eastAsia="pl-PL"/>
        </w:rPr>
        <w:t>- thematically coherent fragment composed of two or more </w:t>
      </w:r>
      <w:r w:rsidRPr="00D9092B">
        <w:rPr>
          <w:rFonts w:eastAsia="Times New Roman"/>
          <w:b/>
          <w:bCs/>
          <w:color w:val="0B5394"/>
          <w:sz w:val="30"/>
          <w:szCs w:val="30"/>
          <w:lang w:val="en-US" w:eastAsia="pl-PL"/>
        </w:rPr>
        <w:t>units</w:t>
      </w:r>
      <w:r w:rsidRPr="00D9092B">
        <w:rPr>
          <w:rFonts w:eastAsia="Times New Roman"/>
          <w:sz w:val="30"/>
          <w:szCs w:val="30"/>
          <w:lang w:val="en-US" w:eastAsia="pl-PL"/>
        </w:rPr>
        <w:t>. In the database the </w:t>
      </w:r>
      <w:r w:rsidRPr="00D9092B">
        <w:rPr>
          <w:rFonts w:eastAsia="Times New Roman"/>
          <w:b/>
          <w:bCs/>
          <w:color w:val="0B5394"/>
          <w:sz w:val="30"/>
          <w:szCs w:val="30"/>
          <w:lang w:val="en-US" w:eastAsia="pl-PL"/>
        </w:rPr>
        <w:t>units</w:t>
      </w:r>
      <w:r w:rsidRPr="00D9092B">
        <w:rPr>
          <w:rFonts w:eastAsia="Times New Roman"/>
          <w:b/>
          <w:bCs/>
          <w:sz w:val="30"/>
          <w:szCs w:val="30"/>
          <w:lang w:val="en-US" w:eastAsia="pl-PL"/>
        </w:rPr>
        <w:t> </w:t>
      </w:r>
      <w:r w:rsidRPr="00D9092B">
        <w:rPr>
          <w:rFonts w:eastAsia="Times New Roman"/>
          <w:sz w:val="30"/>
          <w:szCs w:val="30"/>
          <w:lang w:val="en-US" w:eastAsia="pl-PL"/>
        </w:rPr>
        <w:t>constituting a </w:t>
      </w:r>
      <w:r w:rsidRPr="00D9092B">
        <w:rPr>
          <w:rFonts w:eastAsia="Times New Roman"/>
          <w:b/>
          <w:bCs/>
          <w:color w:val="0B5394"/>
          <w:sz w:val="30"/>
          <w:szCs w:val="30"/>
          <w:lang w:val="en-US" w:eastAsia="pl-PL"/>
        </w:rPr>
        <w:t>piece</w:t>
      </w:r>
      <w:r w:rsidRPr="00D9092B">
        <w:rPr>
          <w:rFonts w:eastAsia="Times New Roman"/>
          <w:b/>
          <w:bCs/>
          <w:sz w:val="30"/>
          <w:szCs w:val="30"/>
          <w:lang w:val="en-US" w:eastAsia="pl-PL"/>
        </w:rPr>
        <w:t> </w:t>
      </w:r>
      <w:r w:rsidRPr="00D9092B">
        <w:rPr>
          <w:rFonts w:eastAsia="Times New Roman"/>
          <w:sz w:val="30"/>
          <w:szCs w:val="30"/>
          <w:lang w:val="en-US" w:eastAsia="pl-PL"/>
        </w:rPr>
        <w:t>are marked in a hue of blue.</w:t>
      </w:r>
    </w:p>
    <w:p w14:paraId="25C3F65B" w14:textId="77777777" w:rsidR="00D9092B" w:rsidRPr="00D9092B" w:rsidRDefault="00D9092B">
      <w:pPr>
        <w:rPr>
          <w:lang w:val="en-US"/>
        </w:rPr>
      </w:pPr>
      <w:bookmarkStart w:id="0" w:name="_GoBack"/>
      <w:bookmarkEnd w:id="0"/>
    </w:p>
    <w:sectPr w:rsidR="00D9092B" w:rsidRPr="00D90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33328"/>
    <w:multiLevelType w:val="multilevel"/>
    <w:tmpl w:val="808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D"/>
    <w:rsid w:val="000A377F"/>
    <w:rsid w:val="001E628A"/>
    <w:rsid w:val="003034A7"/>
    <w:rsid w:val="003B766A"/>
    <w:rsid w:val="0070672A"/>
    <w:rsid w:val="009B4956"/>
    <w:rsid w:val="00CE3F6D"/>
    <w:rsid w:val="00D9092B"/>
    <w:rsid w:val="00E5192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810D"/>
  <w15:chartTrackingRefBased/>
  <w15:docId w15:val="{15459645-3B54-4CB1-B99E-9A8A1231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09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6204">
      <w:bodyDiv w:val="1"/>
      <w:marLeft w:val="0"/>
      <w:marRight w:val="0"/>
      <w:marTop w:val="0"/>
      <w:marBottom w:val="0"/>
      <w:divBdr>
        <w:top w:val="none" w:sz="0" w:space="0" w:color="auto"/>
        <w:left w:val="none" w:sz="0" w:space="0" w:color="auto"/>
        <w:bottom w:val="none" w:sz="0" w:space="0" w:color="auto"/>
        <w:right w:val="none" w:sz="0" w:space="0" w:color="auto"/>
      </w:divBdr>
      <w:divsChild>
        <w:div w:id="2142142105">
          <w:marLeft w:val="0"/>
          <w:marRight w:val="0"/>
          <w:marTop w:val="0"/>
          <w:marBottom w:val="0"/>
          <w:divBdr>
            <w:top w:val="none" w:sz="0" w:space="0" w:color="auto"/>
            <w:left w:val="none" w:sz="0" w:space="0" w:color="auto"/>
            <w:bottom w:val="none" w:sz="0" w:space="0" w:color="auto"/>
            <w:right w:val="none" w:sz="0" w:space="0" w:color="auto"/>
          </w:divBdr>
          <w:divsChild>
            <w:div w:id="8795236">
              <w:marLeft w:val="0"/>
              <w:marRight w:val="0"/>
              <w:marTop w:val="0"/>
              <w:marBottom w:val="0"/>
              <w:divBdr>
                <w:top w:val="none" w:sz="0" w:space="0" w:color="auto"/>
                <w:left w:val="none" w:sz="0" w:space="0" w:color="auto"/>
                <w:bottom w:val="none" w:sz="0" w:space="0" w:color="auto"/>
                <w:right w:val="none" w:sz="0" w:space="0" w:color="auto"/>
              </w:divBdr>
              <w:divsChild>
                <w:div w:id="908811374">
                  <w:marLeft w:val="0"/>
                  <w:marRight w:val="0"/>
                  <w:marTop w:val="0"/>
                  <w:marBottom w:val="0"/>
                  <w:divBdr>
                    <w:top w:val="none" w:sz="0" w:space="0" w:color="auto"/>
                    <w:left w:val="none" w:sz="0" w:space="0" w:color="auto"/>
                    <w:bottom w:val="none" w:sz="0" w:space="0" w:color="auto"/>
                    <w:right w:val="none" w:sz="0" w:space="0" w:color="auto"/>
                  </w:divBdr>
                  <w:divsChild>
                    <w:div w:id="180247319">
                      <w:marLeft w:val="0"/>
                      <w:marRight w:val="0"/>
                      <w:marTop w:val="0"/>
                      <w:marBottom w:val="0"/>
                      <w:divBdr>
                        <w:top w:val="none" w:sz="0" w:space="0" w:color="auto"/>
                        <w:left w:val="none" w:sz="0" w:space="0" w:color="auto"/>
                        <w:bottom w:val="none" w:sz="0" w:space="0" w:color="auto"/>
                        <w:right w:val="none" w:sz="0" w:space="0" w:color="auto"/>
                      </w:divBdr>
                      <w:divsChild>
                        <w:div w:id="1756903118">
                          <w:marLeft w:val="0"/>
                          <w:marRight w:val="0"/>
                          <w:marTop w:val="0"/>
                          <w:marBottom w:val="0"/>
                          <w:divBdr>
                            <w:top w:val="none" w:sz="0" w:space="0" w:color="auto"/>
                            <w:left w:val="none" w:sz="0" w:space="0" w:color="auto"/>
                            <w:bottom w:val="none" w:sz="0" w:space="0" w:color="auto"/>
                            <w:right w:val="none" w:sz="0" w:space="0" w:color="auto"/>
                          </w:divBdr>
                          <w:divsChild>
                            <w:div w:id="374162920">
                              <w:marLeft w:val="0"/>
                              <w:marRight w:val="0"/>
                              <w:marTop w:val="0"/>
                              <w:marBottom w:val="0"/>
                              <w:divBdr>
                                <w:top w:val="none" w:sz="0" w:space="0" w:color="auto"/>
                                <w:left w:val="none" w:sz="0" w:space="0" w:color="auto"/>
                                <w:bottom w:val="none" w:sz="0" w:space="0" w:color="auto"/>
                                <w:right w:val="none" w:sz="0" w:space="0" w:color="auto"/>
                              </w:divBdr>
                              <w:divsChild>
                                <w:div w:id="1876115181">
                                  <w:marLeft w:val="0"/>
                                  <w:marRight w:val="0"/>
                                  <w:marTop w:val="0"/>
                                  <w:marBottom w:val="0"/>
                                  <w:divBdr>
                                    <w:top w:val="none" w:sz="0" w:space="0" w:color="auto"/>
                                    <w:left w:val="none" w:sz="0" w:space="0" w:color="auto"/>
                                    <w:bottom w:val="none" w:sz="0" w:space="0" w:color="auto"/>
                                    <w:right w:val="none" w:sz="0" w:space="0" w:color="auto"/>
                                  </w:divBdr>
                                  <w:divsChild>
                                    <w:div w:id="1254585532">
                                      <w:marLeft w:val="240"/>
                                      <w:marRight w:val="240"/>
                                      <w:marTop w:val="0"/>
                                      <w:marBottom w:val="0"/>
                                      <w:divBdr>
                                        <w:top w:val="none" w:sz="0" w:space="0" w:color="auto"/>
                                        <w:left w:val="none" w:sz="0" w:space="0" w:color="auto"/>
                                        <w:bottom w:val="none" w:sz="0" w:space="0" w:color="auto"/>
                                        <w:right w:val="none" w:sz="0" w:space="0" w:color="auto"/>
                                      </w:divBdr>
                                      <w:divsChild>
                                        <w:div w:id="85273575">
                                          <w:marLeft w:val="0"/>
                                          <w:marRight w:val="0"/>
                                          <w:marTop w:val="0"/>
                                          <w:marBottom w:val="0"/>
                                          <w:divBdr>
                                            <w:top w:val="none" w:sz="0" w:space="0" w:color="auto"/>
                                            <w:left w:val="none" w:sz="0" w:space="0" w:color="auto"/>
                                            <w:bottom w:val="none" w:sz="0" w:space="0" w:color="auto"/>
                                            <w:right w:val="none" w:sz="0" w:space="0" w:color="auto"/>
                                          </w:divBdr>
                                          <w:divsChild>
                                            <w:div w:id="925917177">
                                              <w:marLeft w:val="0"/>
                                              <w:marRight w:val="0"/>
                                              <w:marTop w:val="0"/>
                                              <w:marBottom w:val="0"/>
                                              <w:divBdr>
                                                <w:top w:val="none" w:sz="0" w:space="0" w:color="auto"/>
                                                <w:left w:val="none" w:sz="0" w:space="0" w:color="auto"/>
                                                <w:bottom w:val="none" w:sz="0" w:space="0" w:color="auto"/>
                                                <w:right w:val="none" w:sz="0" w:space="0" w:color="auto"/>
                                              </w:divBdr>
                                              <w:divsChild>
                                                <w:div w:id="454641470">
                                                  <w:marLeft w:val="0"/>
                                                  <w:marRight w:val="0"/>
                                                  <w:marTop w:val="0"/>
                                                  <w:marBottom w:val="0"/>
                                                  <w:divBdr>
                                                    <w:top w:val="none" w:sz="0" w:space="0" w:color="auto"/>
                                                    <w:left w:val="none" w:sz="0" w:space="0" w:color="auto"/>
                                                    <w:bottom w:val="none" w:sz="0" w:space="0" w:color="auto"/>
                                                    <w:right w:val="none" w:sz="0" w:space="0" w:color="auto"/>
                                                  </w:divBdr>
                                                  <w:divsChild>
                                                    <w:div w:id="536936839">
                                                      <w:marLeft w:val="0"/>
                                                      <w:marRight w:val="0"/>
                                                      <w:marTop w:val="0"/>
                                                      <w:marBottom w:val="0"/>
                                                      <w:divBdr>
                                                        <w:top w:val="none" w:sz="0" w:space="0" w:color="auto"/>
                                                        <w:left w:val="none" w:sz="0" w:space="0" w:color="auto"/>
                                                        <w:bottom w:val="none" w:sz="0" w:space="0" w:color="auto"/>
                                                        <w:right w:val="none" w:sz="0" w:space="0" w:color="auto"/>
                                                      </w:divBdr>
                                                      <w:divsChild>
                                                        <w:div w:id="889609977">
                                                          <w:marLeft w:val="0"/>
                                                          <w:marRight w:val="0"/>
                                                          <w:marTop w:val="0"/>
                                                          <w:marBottom w:val="0"/>
                                                          <w:divBdr>
                                                            <w:top w:val="none" w:sz="0" w:space="0" w:color="auto"/>
                                                            <w:left w:val="none" w:sz="0" w:space="0" w:color="auto"/>
                                                            <w:bottom w:val="none" w:sz="0" w:space="0" w:color="auto"/>
                                                            <w:right w:val="none" w:sz="0" w:space="0" w:color="auto"/>
                                                          </w:divBdr>
                                                          <w:divsChild>
                                                            <w:div w:id="246114479">
                                                              <w:marLeft w:val="0"/>
                                                              <w:marRight w:val="0"/>
                                                              <w:marTop w:val="0"/>
                                                              <w:marBottom w:val="675"/>
                                                              <w:divBdr>
                                                                <w:top w:val="none" w:sz="0" w:space="0" w:color="auto"/>
                                                                <w:left w:val="none" w:sz="0" w:space="0" w:color="auto"/>
                                                                <w:bottom w:val="none" w:sz="0" w:space="0" w:color="auto"/>
                                                                <w:right w:val="none" w:sz="0" w:space="0" w:color="auto"/>
                                                              </w:divBdr>
                                                              <w:divsChild>
                                                                <w:div w:id="14960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bp.blogspot.com/-Th9MQslXTGY/WJ3tvE0WGII/AAAAAAAANkY/zesIkFLNN5Qcv3Oziy3XDso_KRwak_W8wCLcB/s1600/genre%2Bchoice%2Balgorithm.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1880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Kosior</dc:creator>
  <cp:keywords/>
  <dc:description/>
  <cp:lastModifiedBy>Wojciech Kosior</cp:lastModifiedBy>
  <cp:revision>2</cp:revision>
  <dcterms:created xsi:type="dcterms:W3CDTF">2019-11-23T16:52:00Z</dcterms:created>
  <dcterms:modified xsi:type="dcterms:W3CDTF">2019-11-23T16:53:00Z</dcterms:modified>
</cp:coreProperties>
</file>